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6"/>
        <w:gridCol w:w="5293"/>
        <w:gridCol w:w="5811"/>
      </w:tblGrid>
      <w:tr w:rsidR="00E10F83" w:rsidRPr="00E10F83" w:rsidTr="00E10F83">
        <w:trPr>
          <w:trHeight w:val="694"/>
          <w:tblHeader/>
        </w:trPr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hideMark/>
          </w:tcPr>
          <w:p w:rsidR="00E10F83" w:rsidRPr="00E10F83" w:rsidRDefault="00E10F83" w:rsidP="00E10F83">
            <w:pPr>
              <w:spacing w:after="150"/>
              <w:jc w:val="center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b/>
                <w:bCs/>
                <w:color w:val="555555"/>
                <w:sz w:val="23"/>
                <w:szCs w:val="23"/>
                <w:lang w:val="en-NL" w:eastAsia="en-GB"/>
              </w:rPr>
              <w:t>FRAMING</w:t>
            </w:r>
          </w:p>
        </w:tc>
        <w:tc>
          <w:tcPr>
            <w:tcW w:w="5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hideMark/>
          </w:tcPr>
          <w:p w:rsidR="00E10F83" w:rsidRPr="00E10F83" w:rsidRDefault="00E10F83" w:rsidP="00E10F83">
            <w:pPr>
              <w:spacing w:after="150"/>
              <w:jc w:val="center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>
              <w:rPr>
                <w:rFonts w:ascii="Arial" w:eastAsia="Times New Roman" w:hAnsi="Arial" w:cs="Times New Roman"/>
                <w:b/>
                <w:bCs/>
                <w:color w:val="555555"/>
                <w:sz w:val="23"/>
                <w:szCs w:val="23"/>
                <w:lang w:eastAsia="en-GB"/>
              </w:rPr>
              <w:t>O</w:t>
            </w:r>
            <w:r w:rsidRPr="00E10F83">
              <w:rPr>
                <w:rFonts w:ascii="Arial" w:eastAsia="Times New Roman" w:hAnsi="Arial" w:cs="Times New Roman"/>
                <w:b/>
                <w:bCs/>
                <w:color w:val="555555"/>
                <w:sz w:val="23"/>
                <w:szCs w:val="23"/>
                <w:lang w:val="en-NL" w:eastAsia="en-GB"/>
              </w:rPr>
              <w:t>rganisation and expectation negotiation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hideMark/>
          </w:tcPr>
          <w:p w:rsidR="00E10F83" w:rsidRPr="00E10F83" w:rsidRDefault="00E10F83" w:rsidP="00E10F83">
            <w:pPr>
              <w:spacing w:after="240"/>
              <w:jc w:val="center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b/>
                <w:bCs/>
                <w:color w:val="555555"/>
                <w:sz w:val="23"/>
                <w:szCs w:val="23"/>
                <w:lang w:val="en-NL" w:eastAsia="en-GB"/>
              </w:rPr>
              <w:t>Multimodal tools</w:t>
            </w:r>
          </w:p>
        </w:tc>
      </w:tr>
      <w:tr w:rsidR="00E10F83" w:rsidRPr="00E10F83" w:rsidTr="00E10F83"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Museum space</w:t>
            </w:r>
          </w:p>
        </w:tc>
        <w:tc>
          <w:tcPr>
            <w:tcW w:w="5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 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 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</w:tr>
      <w:tr w:rsidR="00E10F83" w:rsidRPr="00E10F83" w:rsidTr="00E10F83"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Room(s) organisation</w:t>
            </w:r>
          </w:p>
        </w:tc>
        <w:tc>
          <w:tcPr>
            <w:tcW w:w="5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 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 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 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 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</w:tr>
      <w:tr w:rsidR="00E10F83" w:rsidRPr="00E10F83" w:rsidTr="00E10F83"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Concept(s)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organisation</w:t>
            </w:r>
          </w:p>
        </w:tc>
        <w:tc>
          <w:tcPr>
            <w:tcW w:w="5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 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 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 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</w:tr>
      <w:tr w:rsidR="00E10F83" w:rsidRPr="00E10F83" w:rsidTr="00E10F83"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Institutional frames (displayer of artefacts/ learning frame/ enjoyment frame/ pilgrimage frame)</w:t>
            </w:r>
          </w:p>
        </w:tc>
        <w:tc>
          <w:tcPr>
            <w:tcW w:w="5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</w:tr>
      <w:tr w:rsidR="00E10F83" w:rsidRPr="00E10F83" w:rsidTr="00E10F83"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Reframing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(architecture, art-ifying, content present-past, interpretive media) </w:t>
            </w:r>
          </w:p>
        </w:tc>
        <w:tc>
          <w:tcPr>
            <w:tcW w:w="5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</w:tr>
      <w:tr w:rsidR="00E10F83" w:rsidRPr="00E10F83" w:rsidTr="00E10F83"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lastRenderedPageBreak/>
              <w:t>Exhibit frames (materiality, explanatory, temporal)</w:t>
            </w:r>
          </w:p>
        </w:tc>
        <w:tc>
          <w:tcPr>
            <w:tcW w:w="5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</w:tr>
      <w:tr w:rsidR="00E10F83" w:rsidRPr="00E10F83" w:rsidTr="00E10F83">
        <w:trPr>
          <w:trHeight w:val="1431"/>
        </w:trPr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Material semiotic network framing conclusion</w:t>
            </w:r>
          </w:p>
        </w:tc>
        <w:tc>
          <w:tcPr>
            <w:tcW w:w="5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</w:tr>
    </w:tbl>
    <w:p w:rsidR="00A354D8" w:rsidRDefault="00A354D8" w:rsidP="00E10F83"/>
    <w:p w:rsidR="00E10F83" w:rsidRDefault="00E10F83" w:rsidP="00E10F83"/>
    <w:p w:rsidR="00E10F83" w:rsidRDefault="00E10F83" w:rsidP="00E10F83"/>
    <w:p w:rsidR="00E10F83" w:rsidRDefault="00E10F83" w:rsidP="00E10F83"/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6"/>
        <w:gridCol w:w="5293"/>
        <w:gridCol w:w="5811"/>
      </w:tblGrid>
      <w:tr w:rsidR="00E10F83" w:rsidRPr="00E10F83" w:rsidTr="00E10F83">
        <w:trPr>
          <w:trHeight w:val="685"/>
          <w:tblHeader/>
        </w:trPr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hideMark/>
          </w:tcPr>
          <w:p w:rsidR="00E10F83" w:rsidRPr="00E10F83" w:rsidRDefault="00E10F83" w:rsidP="00E10F83">
            <w:pPr>
              <w:spacing w:after="150"/>
              <w:jc w:val="center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val="en-NL" w:eastAsia="en-GB"/>
              </w:rPr>
              <w:t>RESONATING</w:t>
            </w:r>
          </w:p>
        </w:tc>
        <w:tc>
          <w:tcPr>
            <w:tcW w:w="5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hideMark/>
          </w:tcPr>
          <w:p w:rsidR="00E10F83" w:rsidRPr="00E10F83" w:rsidRDefault="00E10F83" w:rsidP="00E10F83">
            <w:pPr>
              <w:spacing w:after="150"/>
              <w:jc w:val="center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en-GB"/>
              </w:rPr>
              <w:t>E</w:t>
            </w:r>
            <w:r w:rsidRPr="00E10F83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val="en-NL" w:eastAsia="en-GB"/>
              </w:rPr>
              <w:t xml:space="preserve">ngagement of </w:t>
            </w:r>
            <w:r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en-GB"/>
              </w:rPr>
              <w:t>V</w:t>
            </w:r>
            <w:r w:rsidRPr="00E10F83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val="en-NL" w:eastAsia="en-GB"/>
              </w:rPr>
              <w:t>isitors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hideMark/>
          </w:tcPr>
          <w:p w:rsidR="00E10F83" w:rsidRPr="00E10F83" w:rsidRDefault="00E10F83" w:rsidP="00E10F83">
            <w:pPr>
              <w:spacing w:after="240"/>
              <w:jc w:val="center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b/>
                <w:bCs/>
                <w:color w:val="555555"/>
                <w:sz w:val="23"/>
                <w:szCs w:val="23"/>
                <w:lang w:val="en-NL" w:eastAsia="en-GB"/>
              </w:rPr>
              <w:t>Multimodal tools</w:t>
            </w:r>
          </w:p>
        </w:tc>
      </w:tr>
      <w:tr w:rsidR="00E10F83" w:rsidRPr="00E10F83" w:rsidTr="00E10F83"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Bodily engagement </w:t>
            </w:r>
          </w:p>
        </w:tc>
        <w:tc>
          <w:tcPr>
            <w:tcW w:w="5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</w:tr>
      <w:tr w:rsidR="00E10F83" w:rsidRPr="00E10F83" w:rsidTr="00E10F83"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Emotional engagement</w:t>
            </w:r>
          </w:p>
        </w:tc>
        <w:tc>
          <w:tcPr>
            <w:tcW w:w="5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</w:tr>
      <w:tr w:rsidR="00E10F83" w:rsidRPr="00E10F83" w:rsidTr="00E10F83"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Social engagement</w:t>
            </w:r>
          </w:p>
        </w:tc>
        <w:tc>
          <w:tcPr>
            <w:tcW w:w="5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</w:tr>
      <w:tr w:rsidR="00E10F83" w:rsidRPr="00E10F83" w:rsidTr="00E10F83"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lastRenderedPageBreak/>
              <w:t>Amplified energy</w:t>
            </w:r>
          </w:p>
        </w:tc>
        <w:tc>
          <w:tcPr>
            <w:tcW w:w="5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</w:tr>
      <w:tr w:rsidR="00E10F83" w:rsidRPr="00E10F83" w:rsidTr="00E10F83"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Perceptual resonance 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(intrasensory completion, intersensory enhancement / illusion)</w:t>
            </w:r>
          </w:p>
        </w:tc>
        <w:tc>
          <w:tcPr>
            <w:tcW w:w="5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</w:tr>
      <w:tr w:rsidR="00E10F83" w:rsidRPr="00E10F83" w:rsidTr="00E10F83"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Resonance as coalescence (physically, personally, socially)</w:t>
            </w:r>
          </w:p>
        </w:tc>
        <w:tc>
          <w:tcPr>
            <w:tcW w:w="5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</w:tr>
      <w:tr w:rsidR="00E10F83" w:rsidRPr="00E10F83" w:rsidTr="00E10F83"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Resonance body-brain ensemble conclusions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(esp. jumbled visual statics)</w:t>
            </w:r>
          </w:p>
        </w:tc>
        <w:tc>
          <w:tcPr>
            <w:tcW w:w="5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</w:tr>
    </w:tbl>
    <w:p w:rsidR="00E10F83" w:rsidRDefault="00E10F83" w:rsidP="00E10F83">
      <w:pPr>
        <w:rPr>
          <w:lang w:val="en-NL"/>
        </w:rPr>
      </w:pPr>
    </w:p>
    <w:p w:rsidR="00E10F83" w:rsidRDefault="00E10F83" w:rsidP="00E10F83">
      <w:pPr>
        <w:rPr>
          <w:lang w:val="en-NL"/>
        </w:rPr>
      </w:pPr>
    </w:p>
    <w:p w:rsidR="00E10F83" w:rsidRDefault="00E10F83" w:rsidP="00E10F83">
      <w:pPr>
        <w:rPr>
          <w:lang w:val="en-NL"/>
        </w:rPr>
      </w:pPr>
    </w:p>
    <w:p w:rsidR="00205D62" w:rsidRDefault="00205D62" w:rsidP="00E10F83">
      <w:pPr>
        <w:rPr>
          <w:lang w:val="en-NL"/>
        </w:rPr>
      </w:pPr>
    </w:p>
    <w:p w:rsidR="00205D62" w:rsidRDefault="00205D62" w:rsidP="00E10F83">
      <w:pPr>
        <w:rPr>
          <w:lang w:val="en-NL"/>
        </w:rPr>
      </w:pPr>
    </w:p>
    <w:p w:rsidR="00E10F83" w:rsidRDefault="00E10F83" w:rsidP="00E10F83">
      <w:pPr>
        <w:rPr>
          <w:lang w:val="en-NL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5245"/>
        <w:gridCol w:w="5811"/>
      </w:tblGrid>
      <w:tr w:rsidR="00E10F83" w:rsidRPr="00E10F83" w:rsidTr="00E10F83">
        <w:trPr>
          <w:trHeight w:val="701"/>
          <w:tblHeader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E10F83" w:rsidRPr="00E10F83" w:rsidRDefault="00E10F83" w:rsidP="00E10F83">
            <w:pPr>
              <w:spacing w:after="150"/>
              <w:jc w:val="center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val="en-NL" w:eastAsia="en-GB"/>
              </w:rPr>
              <w:t>CHANNELING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E10F83" w:rsidRPr="00E10F83" w:rsidRDefault="00E10F83" w:rsidP="00E10F83">
            <w:pPr>
              <w:spacing w:after="150"/>
              <w:jc w:val="center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en-GB"/>
              </w:rPr>
              <w:t>D</w:t>
            </w:r>
            <w:r w:rsidRPr="00E10F83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val="en-NL" w:eastAsia="en-GB"/>
              </w:rPr>
              <w:t>irectedness and cohesion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E10F83" w:rsidRPr="00E10F83" w:rsidRDefault="00E10F83" w:rsidP="00E10F83">
            <w:pPr>
              <w:spacing w:after="150"/>
              <w:jc w:val="center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Times New Roman"/>
                <w:b/>
                <w:bCs/>
                <w:color w:val="555555"/>
                <w:sz w:val="23"/>
                <w:szCs w:val="23"/>
                <w:lang w:val="en-NL" w:eastAsia="en-GB"/>
              </w:rPr>
              <w:t>Multimodal tools</w:t>
            </w:r>
          </w:p>
        </w:tc>
      </w:tr>
      <w:tr w:rsidR="00E10F83" w:rsidRPr="00E10F83" w:rsidTr="00205D62"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Spatial channels/  Physical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lastRenderedPageBreak/>
              <w:t>(moving, navigating, pausing, portals)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lastRenderedPageBreak/>
              <w:t> 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lastRenderedPageBreak/>
              <w:t> 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lastRenderedPageBreak/>
              <w:t> </w:t>
            </w:r>
          </w:p>
        </w:tc>
      </w:tr>
      <w:tr w:rsidR="00E10F83" w:rsidRPr="00E10F83" w:rsidTr="00205D62"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Multimodal/ multimedial channels /Perceptual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(restorative, fragmented, selective, synchronous)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</w:tr>
      <w:tr w:rsidR="00E10F83" w:rsidRPr="00E10F83" w:rsidTr="00205D62"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Narrative channels / Conceptual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</w:tr>
      <w:tr w:rsidR="00E10F83" w:rsidRPr="00E10F83" w:rsidTr="00205D62"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Semiosis conclusions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</w:tr>
    </w:tbl>
    <w:p w:rsidR="00E10F83" w:rsidRDefault="00E10F83" w:rsidP="00E10F83">
      <w:pPr>
        <w:rPr>
          <w:lang w:val="en-NL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5245"/>
        <w:gridCol w:w="5811"/>
      </w:tblGrid>
      <w:tr w:rsidR="00E10F83" w:rsidRPr="00E10F83" w:rsidTr="00E10F83">
        <w:trPr>
          <w:trHeight w:val="861"/>
          <w:tblHeader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E10F83" w:rsidRPr="00E10F83" w:rsidRDefault="00E10F83" w:rsidP="00205D62">
            <w:pPr>
              <w:spacing w:after="150"/>
              <w:jc w:val="center"/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val="en-NL" w:eastAsia="en-GB"/>
              </w:rPr>
              <w:t>BROADENING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E10F83" w:rsidRPr="00E10F83" w:rsidRDefault="00E10F83" w:rsidP="00205D62">
            <w:pPr>
              <w:spacing w:after="150"/>
              <w:jc w:val="center"/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val="en-NL" w:eastAsia="en-GB"/>
              </w:rPr>
            </w:pPr>
            <w:r w:rsidRPr="00205D62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val="en-US" w:eastAsia="en-GB"/>
              </w:rPr>
              <w:t>R</w:t>
            </w:r>
            <w:r w:rsidRPr="00E10F83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val="en-NL" w:eastAsia="en-GB"/>
              </w:rPr>
              <w:t>elevance and link to world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E10F83" w:rsidRPr="00E10F83" w:rsidRDefault="00205D62" w:rsidP="00205D62">
            <w:pPr>
              <w:spacing w:after="150"/>
              <w:jc w:val="center"/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val="nl-NL" w:eastAsia="en-GB"/>
              </w:rPr>
            </w:pPr>
            <w:r w:rsidRPr="00205D62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en-GB"/>
              </w:rPr>
              <w:t>Multimodal Tools</w:t>
            </w:r>
          </w:p>
        </w:tc>
      </w:tr>
      <w:tr w:rsidR="00E10F83" w:rsidRPr="00E10F83" w:rsidTr="00205D62"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Personal/ Social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</w:tr>
      <w:tr w:rsidR="00E10F83" w:rsidRPr="00E10F83" w:rsidTr="00205D62"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Experiential broadening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</w:tr>
      <w:tr w:rsidR="00E10F83" w:rsidRPr="00E10F83" w:rsidTr="00205D62"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Affective broadening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</w:tr>
      <w:tr w:rsidR="00E10F83" w:rsidRPr="00E10F83" w:rsidTr="00205D62"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Conceptual broadening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lastRenderedPageBreak/>
              <w:t> 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lastRenderedPageBreak/>
              <w:t> 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</w:tr>
      <w:tr w:rsidR="00E10F83" w:rsidRPr="00E10F83" w:rsidTr="00205D62"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Discursive broadening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</w:tr>
      <w:tr w:rsidR="00E10F83" w:rsidRPr="00E10F83" w:rsidTr="00205D62"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Conclusions on Broadening as Performativity</w:t>
            </w:r>
          </w:p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10F83" w:rsidRPr="00E10F83" w:rsidRDefault="00E10F83" w:rsidP="00E10F83">
            <w:pPr>
              <w:spacing w:after="150"/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</w:pPr>
            <w:r w:rsidRPr="00E10F83">
              <w:rPr>
                <w:rFonts w:ascii="Arial" w:eastAsia="Times New Roman" w:hAnsi="Arial" w:cs="Arial"/>
                <w:color w:val="555555"/>
                <w:sz w:val="23"/>
                <w:szCs w:val="23"/>
                <w:lang w:val="en-NL" w:eastAsia="en-GB"/>
              </w:rPr>
              <w:t> </w:t>
            </w:r>
          </w:p>
        </w:tc>
      </w:tr>
    </w:tbl>
    <w:p w:rsidR="00E10F83" w:rsidRPr="00E10F83" w:rsidRDefault="00E10F83" w:rsidP="00E10F83">
      <w:pPr>
        <w:rPr>
          <w:lang w:val="en-NL"/>
        </w:rPr>
      </w:pPr>
    </w:p>
    <w:sectPr w:rsidR="00E10F83" w:rsidRPr="00E10F83" w:rsidSect="00E10F83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F83"/>
    <w:rsid w:val="00205D62"/>
    <w:rsid w:val="00A354D8"/>
    <w:rsid w:val="00E10F83"/>
    <w:rsid w:val="00EE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324120D"/>
  <w15:chartTrackingRefBased/>
  <w15:docId w15:val="{650D50F1-4AAF-E846-A5C9-48640722F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10F8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NL" w:eastAsia="en-GB"/>
    </w:rPr>
  </w:style>
  <w:style w:type="character" w:styleId="Strong">
    <w:name w:val="Strong"/>
    <w:basedOn w:val="DefaultParagraphFont"/>
    <w:uiPriority w:val="22"/>
    <w:qFormat/>
    <w:rsid w:val="00E10F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05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Ochiel, Steph (Stud. FASoS / Alumni)</dc:creator>
  <cp:keywords/>
  <dc:description/>
  <cp:lastModifiedBy>Ochiel, Steph (Stud. FASoS / Alumni)</cp:lastModifiedBy>
  <cp:revision>1</cp:revision>
  <dcterms:created xsi:type="dcterms:W3CDTF">2020-09-10T12:23:00Z</dcterms:created>
  <dcterms:modified xsi:type="dcterms:W3CDTF">2020-09-10T12:38:00Z</dcterms:modified>
</cp:coreProperties>
</file>